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400"/>
        <w:jc w:val="center"/>
      </w:pPr>
      <w:r>
        <w:rPr>
          <w:rFonts w:ascii="Arial" w:hAnsi="Arial"/>
          <w:b/>
          <w:color w:val="233755"/>
          <w:sz w:val="50"/>
        </w:rPr>
        <w:t>АНАЛИЗ И РАЗРАБОТКА КОНЦЕПЦИИ</w:t>
        <w:br/>
        <w:t>ТРЁХ МЕДИАПЛАТФОРМ</w:t>
      </w:r>
    </w:p>
    <w:p>
      <w:pPr>
        <w:jc w:val="center"/>
      </w:pPr>
      <w:r>
        <w:rPr>
          <w:color w:val="505F6E"/>
          <w:sz w:val="30"/>
        </w:rPr>
        <w:t>Отчёт по производственной практике</w:t>
      </w:r>
    </w:p>
    <w:p>
      <w:r>
        <w:br/>
      </w:r>
    </w:p>
    <w:p>
      <w:pPr>
        <w:jc w:val="center"/>
      </w:pPr>
      <w:r>
        <w:rPr>
          <w:rFonts w:ascii="Arial" w:hAnsi="Arial"/>
          <w:sz w:val="22"/>
        </w:rPr>
        <w:t>Выполнила: Илияс Ақерке Серікқызы</w:t>
      </w:r>
    </w:p>
    <w:p>
      <w:pPr>
        <w:jc w:val="center"/>
      </w:pPr>
      <w:r>
        <w:rPr>
          <w:rFonts w:ascii="Arial" w:hAnsi="Arial"/>
          <w:sz w:val="22"/>
        </w:rPr>
        <w:t>Группа: 25-ПО-103-2к-3</w:t>
      </w:r>
    </w:p>
    <w:p>
      <w:pPr>
        <w:jc w:val="center"/>
      </w:pPr>
      <w:r>
        <w:t>Руководитель практики: ____________________</w:t>
      </w:r>
    </w:p>
    <w:p>
      <w:pPr>
        <w:jc w:val="center"/>
      </w:pPr>
      <w:r>
        <w:t>Дата: 21–23 октября 2026 г.</w:t>
      </w:r>
    </w:p>
    <w:p>
      <w:r>
        <w:br/>
      </w:r>
    </w:p>
    <w:p>
      <w:pPr>
        <w:jc w:val="center"/>
      </w:pPr>
      <w:r>
        <w:t>Объекты анализа: izicity.kz • aipimedia.com • viadigital.kz</w:t>
      </w:r>
    </w:p>
    <w:p>
      <w:r>
        <w:br w:type="page"/>
      </w:r>
    </w:p>
    <w:p>
      <w:pPr>
        <w:pStyle w:val="Heading1"/>
      </w:pPr>
      <w:r>
        <w:t>Введение</w:t>
      </w:r>
    </w:p>
    <w:p>
      <w:pPr>
        <w:spacing w:after="80"/>
      </w:pPr>
      <w:r>
        <w:t>Цель работы — изучить три интернет-проекта, определить их назначение и целевую аудиторию, оценить структуру, удобство и функциональность, а затем предложить конкретные улучшения и концепции главных страниц.</w:t>
      </w:r>
    </w:p>
    <w:p>
      <w:pPr>
        <w:spacing w:after="80"/>
      </w:pPr>
      <w:r>
        <w:t>Методика: изучение доступных страниц и открытых описаний платформ, анализ пользовательского пути и формирование проектных рекомендаций. Предложения по редизайну являются концепцией, а не утверждением о текущей реализации.</w:t>
      </w:r>
    </w:p>
    <w:p>
      <w:pPr>
        <w:spacing w:after="80"/>
      </w:pPr>
      <w:r>
        <w:t>Ограничение исследования: адрес viadigital.kz не удалось полноценно открыть через браузерный просмотр. В открытых источниках обнаружена платформа Vi Digital по адресу vidigital.kz с описанием услуг видеорекламы в Казахстане. Поэтому третий раздел основан на доступном публичном описании Vi Digital; перед сдачей желательно сверить точный адрес, указанный руководителем практики.</w:t>
      </w:r>
    </w:p>
    <w:p>
      <w:pPr>
        <w:pStyle w:val="Heading2"/>
      </w:pPr>
      <w:r>
        <w:t>Краткое сравнение проектов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fill="233757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Платформа</w:t>
            </w:r>
          </w:p>
        </w:tc>
        <w:tc>
          <w:tcPr>
            <w:tcW w:type="dxa" w:w="3312"/>
            <w:shd w:fill="233757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Основная задача</w:t>
            </w:r>
          </w:p>
        </w:tc>
        <w:tc>
          <w:tcPr>
            <w:tcW w:type="dxa" w:w="3312"/>
            <w:shd w:fill="233757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Ключевая аудитория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sz w:val="17"/>
              </w:rPr>
              <w:t>Izicity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sz w:val="17"/>
              </w:rPr>
              <w:t>Каталог недвижимости, строительных товаров и услуг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sz w:val="17"/>
              </w:rPr>
              <w:t>Покупатели, продавцы, поставщики, подрядчики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sz w:val="17"/>
              </w:rPr>
              <w:t>AiPi Media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sz w:val="17"/>
              </w:rPr>
              <w:t>Объединение бизнеса, медиа и партнёров в цифровую экосистему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sz w:val="17"/>
              </w:rPr>
              <w:t>Компании, СМИ, блогеры, PR-агентства, учреждения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sz w:val="17"/>
              </w:rPr>
              <w:t>Vi Digital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sz w:val="17"/>
              </w:rPr>
              <w:t>Размещение и управление видеорекламой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sz w:val="17"/>
              </w:rPr>
              <w:t>Рекламодатели, агентства, издатели и бренды</w:t>
            </w:r>
          </w:p>
        </w:tc>
      </w:tr>
    </w:tbl>
    <w:p>
      <w:r>
        <w:br w:type="page"/>
      </w:r>
    </w:p>
    <w:p>
      <w:pPr>
        <w:pStyle w:val="Heading1"/>
      </w:pPr>
      <w:r>
        <w:t>1. Izicity — izicity.kz</w:t>
      </w:r>
    </w:p>
    <w:p>
      <w:pPr>
        <w:spacing w:after="80"/>
      </w:pPr>
      <w:r>
        <w:t>Сайт позиционируется как маркетплейс для недвижимости, строительных материалов, инструментов, аренды и услуг подрядчиков. На главной странице представлены поиск, 18 категорий каталога и тарифы для размещения объявлений. Также проект заявлен как площадка, на которой студенты могут участвовать в разработке сервиса.</w:t>
      </w:r>
    </w:p>
    <w:p>
      <w:pPr>
        <w:pStyle w:val="Heading2"/>
      </w:pPr>
      <w:r>
        <w:t>1.1. Назначение и аудитория</w:t>
      </w:r>
    </w:p>
    <w:p>
      <w:pPr>
        <w:pStyle w:val="ListBullet"/>
        <w:spacing w:after="40"/>
      </w:pPr>
      <w:r>
        <w:t>Основное назначение: объединить поиск недвижимости и всё необходимое для строительства/ремонта в одном каталоге.</w:t>
      </w:r>
    </w:p>
    <w:p>
      <w:pPr>
        <w:pStyle w:val="ListBullet"/>
        <w:spacing w:after="40"/>
      </w:pPr>
      <w:r>
        <w:t>Основная аудитория: люди, покупающие или сдающие недвижимость; частные продавцы; риелторы; поставщики строительных материалов; подрядчики и компании.</w:t>
      </w:r>
    </w:p>
    <w:p>
      <w:pPr>
        <w:pStyle w:val="ListBullet"/>
        <w:spacing w:after="40"/>
      </w:pPr>
      <w:r>
        <w:t>Дополнительная аудитория: студенты и начинающие специалисты, участвующие в развитии цифрового продукта.</w:t>
      </w:r>
    </w:p>
    <w:p>
      <w:pPr>
        <w:pStyle w:val="Heading2"/>
      </w:pPr>
      <w:r>
        <w:t>1.2. Структура, навигация и функциональность</w:t>
      </w:r>
    </w:p>
    <w:p>
      <w:pPr>
        <w:spacing w:after="80"/>
      </w:pPr>
      <w:r>
        <w:t>В меню доступны главная страница, инструкции, контакты, товары, услуги, журнал, аренда, недвижимость, компании и личный кабинет. На главной странице есть строка поиска, перечень категорий и тарифный блок. Базовый тариф описан как бесплатный; платные тарифы предназначены для продавцов с большим количеством объявлений.</w:t>
      </w:r>
    </w:p>
    <w:p>
      <w:pPr>
        <w:pStyle w:val="Heading2"/>
      </w:pPr>
      <w:r>
        <w:t>1.3. Сильные стороны</w:t>
      </w:r>
    </w:p>
    <w:p>
      <w:pPr>
        <w:pStyle w:val="ListBullet"/>
        <w:spacing w:after="40"/>
      </w:pPr>
      <w:r>
        <w:t>Узкая и понятная практическая тематика: недвижимость и строительство.</w:t>
      </w:r>
    </w:p>
    <w:p>
      <w:pPr>
        <w:pStyle w:val="ListBullet"/>
        <w:spacing w:after="40"/>
      </w:pPr>
      <w:r>
        <w:t>Совмещение нескольких связанных потребностей — объект, материалы, инструменты и услуги.</w:t>
      </w:r>
    </w:p>
    <w:p>
      <w:pPr>
        <w:pStyle w:val="ListBullet"/>
        <w:spacing w:after="40"/>
      </w:pPr>
      <w:r>
        <w:t>Категории каталога охватывают широкий путь пользователя от участка до ремонта и обустройства.</w:t>
      </w:r>
    </w:p>
    <w:p>
      <w:pPr>
        <w:pStyle w:val="ListBullet"/>
        <w:spacing w:after="40"/>
      </w:pPr>
      <w:r>
        <w:t>Тарифы показывают пользователю, какие варианты размещения доступны частным лицам и бизнесу.</w:t>
      </w:r>
    </w:p>
    <w:p>
      <w:pPr>
        <w:pStyle w:val="ListBullet"/>
        <w:spacing w:after="40"/>
      </w:pPr>
      <w:r>
        <w:t>Наличие инструкций может помогать новым пользователям освоить сервис.</w:t>
      </w:r>
    </w:p>
    <w:p>
      <w:pPr>
        <w:pStyle w:val="Heading2"/>
      </w:pPr>
      <w:r>
        <w:t>1.4. Слабые стороны и возможные проблемы</w:t>
      </w:r>
    </w:p>
    <w:p>
      <w:pPr>
        <w:pStyle w:val="ListBullet"/>
        <w:spacing w:after="40"/>
      </w:pPr>
      <w:r>
        <w:t>На главной странице слишком много разных направлений для одного пользовательского сценария; новичку может быть трудно понять, с чего начать.</w:t>
      </w:r>
    </w:p>
    <w:p>
      <w:pPr>
        <w:pStyle w:val="ListBullet"/>
        <w:spacing w:after="40"/>
      </w:pPr>
      <w:r>
        <w:t>Необходимо визуально разделить поиск недвижимости и поиск строительных товаров/услуг.</w:t>
      </w:r>
    </w:p>
    <w:p>
      <w:pPr>
        <w:pStyle w:val="ListBullet"/>
        <w:spacing w:after="40"/>
      </w:pPr>
      <w:r>
        <w:t>Для маркетплейса критически важны качество объявлений, актуальность цены и наличие товара; это требует заметных отметок и правил проверки.</w:t>
      </w:r>
    </w:p>
    <w:p>
      <w:pPr>
        <w:pStyle w:val="ListBullet"/>
        <w:spacing w:after="40"/>
      </w:pPr>
      <w:r>
        <w:t>Тарифы представлены на главной странице, но пользователю может не хватать наглядного сравнения, примеров и объяснения выгоды платного размещения.</w:t>
      </w:r>
    </w:p>
    <w:p>
      <w:pPr>
        <w:pStyle w:val="ListBullet"/>
        <w:spacing w:after="40"/>
      </w:pPr>
      <w:r>
        <w:t>Если фильтры, сортировка и карточки объявлений недостаточно заметны, поиск может занимать больше времени.</w:t>
      </w:r>
    </w:p>
    <w:p>
      <w:pPr>
        <w:pStyle w:val="ListBullet"/>
        <w:spacing w:after="40"/>
      </w:pPr>
      <w:r>
        <w:t>Следует обеспечить одинаково удобную работу на телефоне: длинные категории и карточки должны адаптироваться к узкому экрану.</w:t>
      </w:r>
    </w:p>
    <w:p>
      <w:pPr>
        <w:pStyle w:val="Heading2"/>
      </w:pPr>
      <w:r>
        <w:t>1.5. Конкретные предложения по улучшению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EAF0F6"/>
          </w:tcPr>
          <w:p>
            <w:r/>
            <w:r>
              <w:rPr>
                <w:rFonts w:ascii="Arial" w:hAnsi="Arial"/>
                <w:b/>
                <w:color w:val="233755"/>
                <w:sz w:val="18"/>
              </w:rPr>
              <w:t>Разделить поиск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/>
                <w:b w:val="0"/>
                <w:sz w:val="18"/>
              </w:rPr>
              <w:t>Сделать два главных переключателя: «Недвижимость» и «Товары и услуги». Менять поля поиска в зависимости от выбранного направления.</w:t>
            </w:r>
          </w:p>
        </w:tc>
      </w:tr>
      <w:tr>
        <w:tc>
          <w:tcPr>
            <w:tcW w:type="dxa" w:w="4968"/>
            <w:shd w:fill="EAF0F6"/>
          </w:tcPr>
          <w:p>
            <w:r/>
            <w:r>
              <w:rPr>
                <w:rFonts w:ascii="Arial" w:hAnsi="Arial"/>
                <w:b/>
                <w:color w:val="233755"/>
                <w:sz w:val="18"/>
              </w:rPr>
              <w:t>Улучшить фильтры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/>
                <w:b w:val="0"/>
                <w:sz w:val="18"/>
              </w:rPr>
              <w:t>Для недвижимости: город, цена, тип объекта, площадь и число комнат. Для товаров: категория, цена, регион, доставка/самовывоз.</w:t>
            </w:r>
          </w:p>
        </w:tc>
      </w:tr>
      <w:tr>
        <w:tc>
          <w:tcPr>
            <w:tcW w:type="dxa" w:w="4968"/>
            <w:shd w:fill="EAF0F6"/>
          </w:tcPr>
          <w:p>
            <w:r/>
            <w:r>
              <w:rPr>
                <w:rFonts w:ascii="Arial" w:hAnsi="Arial"/>
                <w:b/>
                <w:color w:val="233755"/>
                <w:sz w:val="18"/>
              </w:rPr>
              <w:t>Повысить доверие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/>
                <w:b w:val="0"/>
                <w:sz w:val="18"/>
              </w:rPr>
              <w:t>Добавить статусы «Профиль подтверждён», «Объявление обновлено», дату публикации и кнопку жалобы на подозрительное объявление.</w:t>
            </w:r>
          </w:p>
        </w:tc>
      </w:tr>
      <w:tr>
        <w:tc>
          <w:tcPr>
            <w:tcW w:type="dxa" w:w="4968"/>
            <w:shd w:fill="EAF0F6"/>
          </w:tcPr>
          <w:p>
            <w:r/>
            <w:r>
              <w:rPr>
                <w:rFonts w:ascii="Arial" w:hAnsi="Arial"/>
                <w:b/>
                <w:color w:val="233755"/>
                <w:sz w:val="18"/>
              </w:rPr>
              <w:t>Упростить публикацию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/>
                <w:b w:val="0"/>
                <w:sz w:val="18"/>
              </w:rPr>
              <w:t>Сделать пошаговое размещение объявления с подсказками, предварительным просмотром и индикатором заполнения.</w:t>
            </w:r>
          </w:p>
        </w:tc>
      </w:tr>
      <w:tr>
        <w:tc>
          <w:tcPr>
            <w:tcW w:type="dxa" w:w="4968"/>
            <w:shd w:fill="EAF0F6"/>
          </w:tcPr>
          <w:p>
            <w:r/>
            <w:r>
              <w:rPr>
                <w:rFonts w:ascii="Arial" w:hAnsi="Arial"/>
                <w:b/>
                <w:color w:val="233755"/>
                <w:sz w:val="18"/>
              </w:rPr>
              <w:t>Показать выгоду тарифов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/>
                <w:b w:val="0"/>
                <w:sz w:val="18"/>
              </w:rPr>
              <w:t>Сравнительная таблица с количеством объявлений, медиафайлами, продвижением, сроком и подходящим типом клиента.</w:t>
            </w:r>
          </w:p>
        </w:tc>
      </w:tr>
      <w:tr>
        <w:tc>
          <w:tcPr>
            <w:tcW w:type="dxa" w:w="4968"/>
            <w:shd w:fill="EAF0F6"/>
          </w:tcPr>
          <w:p>
            <w:r/>
            <w:r>
              <w:rPr>
                <w:rFonts w:ascii="Arial" w:hAnsi="Arial"/>
                <w:b/>
                <w:color w:val="233755"/>
                <w:sz w:val="18"/>
              </w:rPr>
              <w:t>Усилить полезный контент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/>
                <w:b w:val="0"/>
                <w:sz w:val="18"/>
              </w:rPr>
              <w:t>Добавить чек-листы покупки недвижимости, расчёт бюджета ремонта, советы по выбору материалов и ответы на частые вопросы.</w:t>
            </w:r>
          </w:p>
        </w:tc>
      </w:tr>
      <w:tr>
        <w:tc>
          <w:tcPr>
            <w:tcW w:type="dxa" w:w="4968"/>
            <w:shd w:fill="EAF0F6"/>
          </w:tcPr>
          <w:p>
            <w:r/>
            <w:r>
              <w:rPr>
                <w:rFonts w:ascii="Arial" w:hAnsi="Arial"/>
                <w:b/>
                <w:color w:val="233755"/>
                <w:sz w:val="18"/>
              </w:rPr>
              <w:t>Повысить конверсию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/>
                <w:b w:val="0"/>
                <w:sz w:val="18"/>
              </w:rPr>
              <w:t>Добавить избранное, сохранённые поиски, уведомления о новых объявлениях и быстрый контакт с продавцом.</w:t>
            </w:r>
          </w:p>
        </w:tc>
      </w:tr>
    </w:tbl>
    <w:p>
      <w:pPr>
        <w:pStyle w:val="Heading2"/>
      </w:pPr>
      <w:r>
        <w:t>1.6. Аналитическое мнение и развитие</w:t>
      </w:r>
    </w:p>
    <w:p>
      <w:pPr>
        <w:spacing w:after="80"/>
      </w:pPr>
      <w:r>
        <w:t>Я бы сохранила идею объединения недвижимости и строительного рынка: это главное отличие проекта. При этом главную страницу стоит перестроить вокруг задачи посетителя, а не вокруг длинного перечня категорий. Сначала пользователь выбирает цель, затем видит подходящие фильтры и актуальные предложения.</w:t>
      </w:r>
    </w:p>
    <w:p>
      <w:pPr>
        <w:spacing w:after="80"/>
      </w:pPr>
      <w:r>
        <w:t>Перспектива развития — региональный маркетплейс с проверенными продавцами, удобным сравнением предложений и полезными инструментами для ремонта. Для привлечения пользователей подойдут SEO-страницы категорий и регионов, партнёрства с поставщиками, полезные статьи, рекомендации объявлений и реферальная программа.</w:t>
      </w:r>
    </w:p>
    <w:p>
      <w:pPr>
        <w:pStyle w:val="Heading2"/>
      </w:pPr>
      <w:r>
        <w:t>1.7. Концепция дизайна главной страницы</w:t>
      </w:r>
    </w:p>
    <w:p>
      <w:r>
        <w:drawing>
          <wp:inline xmlns:a="http://schemas.openxmlformats.org/drawingml/2006/main" xmlns:pic="http://schemas.openxmlformats.org/drawingml/2006/picture">
            <wp:extent cx="5212080" cy="64399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sign_izicity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64399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/>
      </w:pPr>
      <w:r>
        <w:t>Визуальная идея: спокойный зелёный акцент, крупный поиск и отдельные карточки основных сценариев. На первом экране должны быть два понятных направления, поле поиска и призыв к действию. Далее — популярные категории, новые объявления, проверенные компании, инструкции и тарифы.</w:t>
      </w:r>
    </w:p>
    <w:p>
      <w:pPr>
        <w:pStyle w:val="Heading2"/>
      </w:pPr>
      <w:r>
        <w:t>1.8. Обоснование решений</w:t>
      </w:r>
    </w:p>
    <w:p>
      <w:pPr>
        <w:pStyle w:val="ListNumber"/>
        <w:spacing w:after="40"/>
      </w:pPr>
      <w:r>
        <w:t>Изменено: главный экран организован вокруг поиска и пользовательских задач. Причина: посетители приходят за конкретным объектом, товаром или услугой.</w:t>
      </w:r>
    </w:p>
    <w:p>
      <w:pPr>
        <w:pStyle w:val="ListNumber"/>
        <w:spacing w:after="40"/>
      </w:pPr>
      <w:r>
        <w:t>Изменено: направления каталога разделены на визуальные блоки. Решаемая проблема: перегруженность и смешение разных типов предложений.</w:t>
      </w:r>
    </w:p>
    <w:p>
      <w:pPr>
        <w:pStyle w:val="ListNumber"/>
        <w:spacing w:after="40"/>
      </w:pPr>
      <w:r>
        <w:t>Добавлено: доверительные отметки, избранное и сохранённые поиски. Эффект: больше уверенности, повторных визитов и обращений.</w:t>
      </w:r>
    </w:p>
    <w:p>
      <w:pPr>
        <w:pStyle w:val="ListNumber"/>
        <w:spacing w:after="40"/>
      </w:pPr>
      <w:r>
        <w:t>Сохранено: категории, бесплатное размещение и платные тарифы. Это поддерживает базовую бизнес-модель проекта.</w:t>
      </w:r>
    </w:p>
    <w:p>
      <w:pPr>
        <w:pStyle w:val="ListNumber"/>
        <w:spacing w:after="40"/>
      </w:pPr>
      <w:r>
        <w:t>Перспектива: персонализированные рекомендации и аналитика для продавцов после накопления достаточного объёма данных.</w:t>
      </w:r>
    </w:p>
    <w:p>
      <w:r>
        <w:br w:type="page"/>
      </w:r>
    </w:p>
    <w:p>
      <w:pPr>
        <w:pStyle w:val="Heading1"/>
      </w:pPr>
      <w:r>
        <w:t>2. AiPi Media — aipimedia.com</w:t>
      </w:r>
    </w:p>
    <w:p>
      <w:pPr>
        <w:spacing w:after="80"/>
      </w:pPr>
      <w:r>
        <w:t>AiPi Media описывает себя как международный медиаконсорциум, объединяющий государственный сектор, коммерческие компании, учебные заведения и медиасообщество. На главной странице представлены направления консорциума, цифровая экосистема, маркетплейсы, электронные журналы и возможности сотрудничества.</w:t>
      </w:r>
    </w:p>
    <w:p>
      <w:pPr>
        <w:pStyle w:val="Heading2"/>
      </w:pPr>
      <w:r>
        <w:t>2.1. Назначение и аудитория</w:t>
      </w:r>
    </w:p>
    <w:p>
      <w:pPr>
        <w:pStyle w:val="ListBullet"/>
        <w:spacing w:after="40"/>
      </w:pPr>
      <w:r>
        <w:t>Основное назначение: связать организации, бизнес, образовательные учреждения и медиа в общую цифровую экосистему.</w:t>
      </w:r>
    </w:p>
    <w:p>
      <w:pPr>
        <w:pStyle w:val="ListBullet"/>
        <w:spacing w:after="40"/>
      </w:pPr>
      <w:r>
        <w:t>Целевая аудитория: компании, государственные и образовательные организации, СМИ, блогеры, PR- и маркетинговые агентства.</w:t>
      </w:r>
    </w:p>
    <w:p>
      <w:pPr>
        <w:pStyle w:val="ListBullet"/>
        <w:spacing w:after="40"/>
      </w:pPr>
      <w:r>
        <w:t>Дополнительная аудитория: партнёры цифровых площадок и молодые предприниматели.</w:t>
      </w:r>
    </w:p>
    <w:p>
      <w:pPr>
        <w:pStyle w:val="Heading2"/>
      </w:pPr>
      <w:r>
        <w:t>2.2. Структура, навигация и функциональность</w:t>
      </w:r>
    </w:p>
    <w:p>
      <w:pPr>
        <w:spacing w:after="80"/>
      </w:pPr>
      <w:r>
        <w:t>В меню указаны разделы «Медиаконсорциум», «Нейросети», руководство пользователя, контакты, медиахаб, журнал, медиа-компании, маркетинговые компании, PR-компании, блогеры, партнёры и личный кабинет. Главная страница объясняет идею объединения участников и показывает масштаб экосистемы.</w:t>
      </w:r>
    </w:p>
    <w:p>
      <w:pPr>
        <w:pStyle w:val="Heading2"/>
      </w:pPr>
      <w:r>
        <w:t>2.3. Сильные стороны</w:t>
      </w:r>
    </w:p>
    <w:p>
      <w:pPr>
        <w:pStyle w:val="ListBullet"/>
        <w:spacing w:after="40"/>
      </w:pPr>
      <w:r>
        <w:t>Чёткая идея партнёрства между бизнесом, образованием и медиасообществом.</w:t>
      </w:r>
    </w:p>
    <w:p>
      <w:pPr>
        <w:pStyle w:val="ListBullet"/>
        <w:spacing w:after="40"/>
      </w:pPr>
      <w:r>
        <w:t>Экосистемный подход: вместо одного сервиса проект представляет набор взаимосвязанных площадок.</w:t>
      </w:r>
    </w:p>
    <w:p>
      <w:pPr>
        <w:pStyle w:val="ListBullet"/>
        <w:spacing w:after="40"/>
      </w:pPr>
      <w:r>
        <w:t>Наличие категорий участников помогает объяснить, кто может быть частью консорциума.</w:t>
      </w:r>
    </w:p>
    <w:p>
      <w:pPr>
        <w:pStyle w:val="ListBullet"/>
        <w:spacing w:after="40"/>
      </w:pPr>
      <w:r>
        <w:t>Разделы для партнёров, блогеров, медиа и PR-компаний формируют основу для поиска сотрудничества.</w:t>
      </w:r>
    </w:p>
    <w:p>
      <w:pPr>
        <w:pStyle w:val="ListBullet"/>
        <w:spacing w:after="40"/>
      </w:pPr>
      <w:r>
        <w:t>Поддержка молодёжного и студенческого предпринимательства может стать отличительным преимуществом.</w:t>
      </w:r>
    </w:p>
    <w:p>
      <w:pPr>
        <w:pStyle w:val="Heading2"/>
      </w:pPr>
      <w:r>
        <w:t>2.4. Слабые стороны и возможные проблемы</w:t>
      </w:r>
    </w:p>
    <w:p>
      <w:pPr>
        <w:pStyle w:val="ListBullet"/>
        <w:spacing w:after="40"/>
      </w:pPr>
      <w:r>
        <w:t>Понятие «медиаконсорциум» может быть слишком абстрактным для нового посетителя; нужно быстрее объяснять практическую пользу.</w:t>
      </w:r>
    </w:p>
    <w:p>
      <w:pPr>
        <w:pStyle w:val="ListBullet"/>
        <w:spacing w:after="40"/>
      </w:pPr>
      <w:r>
        <w:t>Числа и масштаб экосистемы стоит сопровождать датой обновления и пояснением, что именно считается платформой.</w:t>
      </w:r>
    </w:p>
    <w:p>
      <w:pPr>
        <w:pStyle w:val="ListBullet"/>
        <w:spacing w:after="40"/>
      </w:pPr>
      <w:r>
        <w:t>Пользователю может быть неочевидно, какой следующий шаг сделать: зарегистрироваться, найти партнёра или предложить площадку.</w:t>
      </w:r>
    </w:p>
    <w:p>
      <w:pPr>
        <w:pStyle w:val="ListBullet"/>
        <w:spacing w:after="40"/>
      </w:pPr>
      <w:r>
        <w:t>Большое количество пунктов меню усложняет выбор; полезно объединить их в логические группы.</w:t>
      </w:r>
    </w:p>
    <w:p>
      <w:pPr>
        <w:pStyle w:val="ListBullet"/>
        <w:spacing w:after="40"/>
      </w:pPr>
      <w:r>
        <w:t>Необходимо нагляднее показать реальные сценарии использования, примеры партнёрств и результаты для участников.</w:t>
      </w:r>
    </w:p>
    <w:p>
      <w:pPr>
        <w:pStyle w:val="ListBullet"/>
        <w:spacing w:after="40"/>
      </w:pPr>
      <w:r>
        <w:t>Для B2B-аудитории важны понятные условия сотрудничества, форма заявки и информация о проверке участников.</w:t>
      </w:r>
    </w:p>
    <w:p>
      <w:pPr>
        <w:pStyle w:val="Heading2"/>
      </w:pPr>
      <w:r>
        <w:t>2.5. Конкретные предложения по улучшению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EAF0F6"/>
          </w:tcPr>
          <w:p>
            <w:r/>
            <w:r>
              <w:rPr>
                <w:rFonts w:ascii="Arial" w:hAnsi="Arial"/>
                <w:b/>
                <w:color w:val="233755"/>
                <w:sz w:val="18"/>
              </w:rPr>
              <w:t>Понятный первый экран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/>
                <w:b w:val="0"/>
                <w:sz w:val="18"/>
              </w:rPr>
              <w:t>Заголовок с конкретной ценностью и две кнопки: «Найти партнёра» и «Стать участником».</w:t>
            </w:r>
          </w:p>
        </w:tc>
      </w:tr>
      <w:tr>
        <w:tc>
          <w:tcPr>
            <w:tcW w:type="dxa" w:w="4968"/>
            <w:shd w:fill="EAF0F6"/>
          </w:tcPr>
          <w:p>
            <w:r/>
            <w:r>
              <w:rPr>
                <w:rFonts w:ascii="Arial" w:hAnsi="Arial"/>
                <w:b/>
                <w:color w:val="233755"/>
                <w:sz w:val="18"/>
              </w:rPr>
              <w:t>Каталог участников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/>
                <w:b w:val="0"/>
                <w:sz w:val="18"/>
              </w:rPr>
              <w:t>Добавить фильтры по типу организации, отрасли, региону, услугам и формату сотрудничества.</w:t>
            </w:r>
          </w:p>
        </w:tc>
      </w:tr>
      <w:tr>
        <w:tc>
          <w:tcPr>
            <w:tcW w:type="dxa" w:w="4968"/>
            <w:shd w:fill="EAF0F6"/>
          </w:tcPr>
          <w:p>
            <w:r/>
            <w:r>
              <w:rPr>
                <w:rFonts w:ascii="Arial" w:hAnsi="Arial"/>
                <w:b/>
                <w:color w:val="233755"/>
                <w:sz w:val="18"/>
              </w:rPr>
              <w:t>Карточки кейсов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/>
                <w:b w:val="0"/>
                <w:sz w:val="18"/>
              </w:rPr>
              <w:t>Показывать задачу партнёра, какие ресурсы использовали и какой результат получили; не публиковать неподтверждённые цифры.</w:t>
            </w:r>
          </w:p>
        </w:tc>
      </w:tr>
      <w:tr>
        <w:tc>
          <w:tcPr>
            <w:tcW w:type="dxa" w:w="4968"/>
            <w:shd w:fill="EAF0F6"/>
          </w:tcPr>
          <w:p>
            <w:r/>
            <w:r>
              <w:rPr>
                <w:rFonts w:ascii="Arial" w:hAnsi="Arial"/>
                <w:b/>
                <w:color w:val="233755"/>
                <w:sz w:val="18"/>
              </w:rPr>
              <w:t>Единая карта экосистемы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/>
                <w:b w:val="0"/>
                <w:sz w:val="18"/>
              </w:rPr>
              <w:t>Схема «участники → площадки → аудитория → результат» с переходом к подробностям.</w:t>
            </w:r>
          </w:p>
        </w:tc>
      </w:tr>
      <w:tr>
        <w:tc>
          <w:tcPr>
            <w:tcW w:type="dxa" w:w="4968"/>
            <w:shd w:fill="EAF0F6"/>
          </w:tcPr>
          <w:p>
            <w:r/>
            <w:r>
              <w:rPr>
                <w:rFonts w:ascii="Arial" w:hAnsi="Arial"/>
                <w:b/>
                <w:color w:val="233755"/>
                <w:sz w:val="18"/>
              </w:rPr>
              <w:t>Онбординг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/>
                <w:b w:val="0"/>
                <w:sz w:val="18"/>
              </w:rPr>
              <w:t>Короткий мастер выбора роли: компания, медиа, блогер, образовательная организация или партнёр.</w:t>
            </w:r>
          </w:p>
        </w:tc>
      </w:tr>
      <w:tr>
        <w:tc>
          <w:tcPr>
            <w:tcW w:type="dxa" w:w="4968"/>
            <w:shd w:fill="EAF0F6"/>
          </w:tcPr>
          <w:p>
            <w:r/>
            <w:r>
              <w:rPr>
                <w:rFonts w:ascii="Arial" w:hAnsi="Arial"/>
                <w:b/>
                <w:color w:val="233755"/>
                <w:sz w:val="18"/>
              </w:rPr>
              <w:t>Прозрачность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/>
                <w:b w:val="0"/>
                <w:sz w:val="18"/>
              </w:rPr>
              <w:t>Опубликовать условия участия, правила размещения, критерии подтверждения профилей и политику обработки данных.</w:t>
            </w:r>
          </w:p>
        </w:tc>
      </w:tr>
      <w:tr>
        <w:tc>
          <w:tcPr>
            <w:tcW w:type="dxa" w:w="4968"/>
            <w:shd w:fill="EAF0F6"/>
          </w:tcPr>
          <w:p>
            <w:r/>
            <w:r>
              <w:rPr>
                <w:rFonts w:ascii="Arial" w:hAnsi="Arial"/>
                <w:b/>
                <w:color w:val="233755"/>
                <w:sz w:val="18"/>
              </w:rPr>
              <w:t>Измерение пользы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/>
                <w:b w:val="0"/>
                <w:sz w:val="18"/>
              </w:rPr>
              <w:t>Личный кабинет с заявками, контактами, статусами обращений и статистикой переходов для участников.</w:t>
            </w:r>
          </w:p>
        </w:tc>
      </w:tr>
    </w:tbl>
    <w:p>
      <w:pPr>
        <w:pStyle w:val="Heading2"/>
      </w:pPr>
      <w:r>
        <w:t>2.6. Аналитическое мнение и развитие</w:t>
      </w:r>
    </w:p>
    <w:p>
      <w:pPr>
        <w:spacing w:after="80"/>
      </w:pPr>
      <w:r>
        <w:t>Я бы сохранила идею единой экосистемы и четыре основных направления участников. Главный приоритет — перевести абстрактное описание консорциума в понятные действия. Посетитель должен быстро увидеть, какую задачу решает платформа именно для него и как начать сотрудничество.</w:t>
      </w:r>
    </w:p>
    <w:p>
      <w:pPr>
        <w:spacing w:after="80"/>
      </w:pPr>
      <w:r>
        <w:t>В перспективе AiPi Media может развиваться как B2B-каталог и партнёрская сеть: поиск участников, подбор медиа-площадок, публикация запросов на сотрудничество, кейсы, мероприятия и аналитика взаимодействий. Привлекать аудиторию можно через отраслевые вебинары, партнёрские публикации, истории участников и удобную регистрацию.</w:t>
      </w:r>
    </w:p>
    <w:p>
      <w:pPr>
        <w:pStyle w:val="Heading2"/>
      </w:pPr>
      <w:r>
        <w:t>2.7. Концепция дизайна главной страницы</w:t>
      </w:r>
    </w:p>
    <w:p>
      <w:r>
        <w:drawing>
          <wp:inline xmlns:a="http://schemas.openxmlformats.org/drawingml/2006/main" xmlns:pic="http://schemas.openxmlformats.org/drawingml/2006/picture">
            <wp:extent cx="5212080" cy="643995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sign_aipi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64399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/>
      </w:pPr>
      <w:r>
        <w:t>Визуальная идея: синий/индиго как ассоциация с деловой надёжностью, крупный заголовок о соединении бизнеса и медиа, заметные действия и три ключевых направления. Далее — карта экосистемы, каталог партнёров, кейсы, журналы и блок «Как присоединиться».</w:t>
      </w:r>
    </w:p>
    <w:p>
      <w:pPr>
        <w:pStyle w:val="Heading2"/>
      </w:pPr>
      <w:r>
        <w:t>2.8. Обоснование решений</w:t>
      </w:r>
    </w:p>
    <w:p>
      <w:pPr>
        <w:pStyle w:val="ListNumber"/>
        <w:spacing w:after="40"/>
      </w:pPr>
      <w:r>
        <w:t>Изменено: первый экран ориентирован на ценность для участника, а не только на описание организации. Это помогает быстрее понять назначение сервиса.</w:t>
      </w:r>
    </w:p>
    <w:p>
      <w:pPr>
        <w:pStyle w:val="ListNumber"/>
        <w:spacing w:after="40"/>
      </w:pPr>
      <w:r>
        <w:t>Добавлено: две основные кнопки и выбор роли. Это сокращает путь от посещения сайта к целевому действию.</w:t>
      </w:r>
    </w:p>
    <w:p>
      <w:pPr>
        <w:pStyle w:val="ListNumber"/>
        <w:spacing w:after="40"/>
      </w:pPr>
      <w:r>
        <w:t>Добавлено: каталог и кейсы. Они делают экосистему конкретной и помогают оценить потенциальную пользу.</w:t>
      </w:r>
    </w:p>
    <w:p>
      <w:pPr>
        <w:pStyle w:val="ListNumber"/>
        <w:spacing w:after="40"/>
      </w:pPr>
      <w:r>
        <w:t>Сохранено: направления бизнеса, образования и медиасообщества, а также концепция сети взаимосвязанных платформ.</w:t>
      </w:r>
    </w:p>
    <w:p>
      <w:pPr>
        <w:pStyle w:val="ListNumber"/>
        <w:spacing w:after="40"/>
      </w:pPr>
      <w:r>
        <w:t>Перспектива: кабинет партнёра с управлением заявками и измеримыми результатами сотрудничества.</w:t>
      </w:r>
    </w:p>
    <w:p>
      <w:r>
        <w:br w:type="page"/>
      </w:r>
    </w:p>
    <w:p>
      <w:pPr>
        <w:pStyle w:val="Heading1"/>
      </w:pPr>
      <w:r>
        <w:t>3. Vi Digital — рекламная видеоплатформа</w:t>
      </w:r>
    </w:p>
    <w:p>
      <w:pPr>
        <w:spacing w:after="80"/>
      </w:pPr>
      <w:r>
        <w:t>Важно: исходный адрес, указанный в задании, — viadigital.kz — не удалось открыть при проверке. В открытых источниках доступно описание Vi Digital на vidigital.kz: компания позиционируется как продавец медийных возможностей в Казахстане и предлагает размещение видеорекламы на онлайн-ресурсах. Этот анализ необходимо сверить с точным сайтом, предоставленным руководителем практики.</w:t>
      </w:r>
    </w:p>
    <w:p>
      <w:pPr>
        <w:pStyle w:val="Heading2"/>
      </w:pPr>
      <w:r>
        <w:t>3.1. Назначение и аудитория</w:t>
      </w:r>
    </w:p>
    <w:p>
      <w:pPr>
        <w:pStyle w:val="ListBullet"/>
        <w:spacing w:after="40"/>
      </w:pPr>
      <w:r>
        <w:t>Основное назначение: помочь брендам и рекламным агентствам размещать видеорекламу на цифровых площадках и охватывать целевую аудиторию.</w:t>
      </w:r>
    </w:p>
    <w:p>
      <w:pPr>
        <w:pStyle w:val="ListBullet"/>
        <w:spacing w:after="40"/>
      </w:pPr>
      <w:r>
        <w:t>Целевая аудитория: маркетологи, рекламодатели, агентства, бренды и медиаплощадки.</w:t>
      </w:r>
    </w:p>
    <w:p>
      <w:pPr>
        <w:pStyle w:val="ListBullet"/>
        <w:spacing w:after="40"/>
      </w:pPr>
      <w:r>
        <w:t>Основные задачи клиента: выбрать формат, понять охват и показатели кампании, запросить предложение и оценить результат.</w:t>
      </w:r>
    </w:p>
    <w:p>
      <w:pPr>
        <w:pStyle w:val="Heading2"/>
      </w:pPr>
      <w:r>
        <w:t>3.2. Структура, навигация и функциональность</w:t>
      </w:r>
    </w:p>
    <w:p>
      <w:pPr>
        <w:spacing w:after="80"/>
      </w:pPr>
      <w:r>
        <w:t>В доступном описании представлены преимущества видеорекламы, показатели охвата и просмотров, описание компании, миссия и рекламные форматы: Cinema Premium, In-stream, Outstream и In-app. Также упоминаются сегментация аудитории, рекламная сеть и аналитика.</w:t>
      </w:r>
    </w:p>
    <w:p>
      <w:pPr>
        <w:pStyle w:val="Heading2"/>
      </w:pPr>
      <w:r>
        <w:t>3.3. Сильные стороны</w:t>
      </w:r>
    </w:p>
    <w:p>
      <w:pPr>
        <w:pStyle w:val="ListBullet"/>
        <w:spacing w:after="40"/>
      </w:pPr>
      <w:r>
        <w:t>Специализация на видеорекламе и понятное B2B-направление.</w:t>
      </w:r>
    </w:p>
    <w:p>
      <w:pPr>
        <w:pStyle w:val="ListBullet"/>
        <w:spacing w:after="40"/>
      </w:pPr>
      <w:r>
        <w:t>Наличие нескольких форматов размещения позволяет подбирать решения под разные рекламные цели.</w:t>
      </w:r>
    </w:p>
    <w:p>
      <w:pPr>
        <w:pStyle w:val="ListBullet"/>
        <w:spacing w:after="40"/>
      </w:pPr>
      <w:r>
        <w:t>Использование метрик охвата, VTR и viewability помогает говорить с клиентами на языке эффективности.</w:t>
      </w:r>
    </w:p>
    <w:p>
      <w:pPr>
        <w:pStyle w:val="ListBullet"/>
        <w:spacing w:after="40"/>
      </w:pPr>
      <w:r>
        <w:t>Акцент на безопасном для бренда окружении — важный критерий при выборе рекламной площадки.</w:t>
      </w:r>
    </w:p>
    <w:p>
      <w:pPr>
        <w:pStyle w:val="ListBullet"/>
        <w:spacing w:after="40"/>
      </w:pPr>
      <w:r>
        <w:t>Описание аудитории и рекламной сети создаёт основу для аргументированного медиапланирования.</w:t>
      </w:r>
    </w:p>
    <w:p>
      <w:pPr>
        <w:pStyle w:val="Heading2"/>
      </w:pPr>
      <w:r>
        <w:t>3.4. Слабые стороны и возможные проблемы</w:t>
      </w:r>
    </w:p>
    <w:p>
      <w:pPr>
        <w:pStyle w:val="ListBullet"/>
        <w:spacing w:after="40"/>
      </w:pPr>
      <w:r>
        <w:t>Если показатели на главной странице не сопровождаются датой, методикой и источником измерения, посетителю трудно оценить их актуальность.</w:t>
      </w:r>
    </w:p>
    <w:p>
      <w:pPr>
        <w:pStyle w:val="ListBullet"/>
        <w:spacing w:after="40"/>
      </w:pPr>
      <w:r>
        <w:t>Клиенту может не хватать простого объяснения, какой рекламный формат подходит его задаче.</w:t>
      </w:r>
    </w:p>
    <w:p>
      <w:pPr>
        <w:pStyle w:val="ListBullet"/>
        <w:spacing w:after="40"/>
      </w:pPr>
      <w:r>
        <w:t>Нужны примеры кампаний с контекстом: цель, аудитория, формат и результат — при наличии подтверждённых данных.</w:t>
      </w:r>
    </w:p>
    <w:p>
      <w:pPr>
        <w:pStyle w:val="ListBullet"/>
        <w:spacing w:after="40"/>
      </w:pPr>
      <w:r>
        <w:t>Путь к заявке должен быть коротким; слишком общий призыв не помогает подготовить запрос.</w:t>
      </w:r>
    </w:p>
    <w:p>
      <w:pPr>
        <w:pStyle w:val="ListBullet"/>
        <w:spacing w:after="40"/>
      </w:pPr>
      <w:r>
        <w:t>Полезно объяснять термины VTR, CTR и viewability простым языком.</w:t>
      </w:r>
    </w:p>
    <w:p>
      <w:pPr>
        <w:pStyle w:val="ListBullet"/>
        <w:spacing w:after="40"/>
      </w:pPr>
      <w:r>
        <w:t>Важно отдельно раскрыть бренд-безопасность, прозрачность отчётности и подход к обработке данных.</w:t>
      </w:r>
    </w:p>
    <w:p>
      <w:pPr>
        <w:pStyle w:val="Heading2"/>
      </w:pPr>
      <w:r>
        <w:t>3.5. Конкретные предложения по улучшению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EAF0F6"/>
          </w:tcPr>
          <w:p>
            <w:r/>
            <w:r>
              <w:rPr>
                <w:rFonts w:ascii="Arial" w:hAnsi="Arial"/>
                <w:b/>
                <w:color w:val="233755"/>
                <w:sz w:val="18"/>
              </w:rPr>
              <w:t>Подбор формата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/>
                <w:b w:val="0"/>
                <w:sz w:val="18"/>
              </w:rPr>
              <w:t>Добавить блок «Какая у вас цель?» — узнаваемость, досмотры, переходы или продвижение приложения — и рекомендовать подходящий формат.</w:t>
            </w:r>
          </w:p>
        </w:tc>
      </w:tr>
      <w:tr>
        <w:tc>
          <w:tcPr>
            <w:tcW w:type="dxa" w:w="4968"/>
            <w:shd w:fill="EAF0F6"/>
          </w:tcPr>
          <w:p>
            <w:r/>
            <w:r>
              <w:rPr>
                <w:rFonts w:ascii="Arial" w:hAnsi="Arial"/>
                <w:b/>
                <w:color w:val="233755"/>
                <w:sz w:val="18"/>
              </w:rPr>
              <w:t>Актуальность метрик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/>
                <w:b w:val="0"/>
                <w:sz w:val="18"/>
              </w:rPr>
              <w:t>Указывать период, методику и источник каждого показателя; отделять текущие данные от исторических ориентиров.</w:t>
            </w:r>
          </w:p>
        </w:tc>
      </w:tr>
      <w:tr>
        <w:tc>
          <w:tcPr>
            <w:tcW w:type="dxa" w:w="4968"/>
            <w:shd w:fill="EAF0F6"/>
          </w:tcPr>
          <w:p>
            <w:r/>
            <w:r>
              <w:rPr>
                <w:rFonts w:ascii="Arial" w:hAnsi="Arial"/>
                <w:b/>
                <w:color w:val="233755"/>
                <w:sz w:val="18"/>
              </w:rPr>
              <w:t>Калькулятор кампании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/>
                <w:b w:val="0"/>
                <w:sz w:val="18"/>
              </w:rPr>
              <w:t>Позволить задать бюджет, аудиторию и период, а затем получить предварительный запрос на медиаплан без обещания гарантированного результата.</w:t>
            </w:r>
          </w:p>
        </w:tc>
      </w:tr>
      <w:tr>
        <w:tc>
          <w:tcPr>
            <w:tcW w:type="dxa" w:w="4968"/>
            <w:shd w:fill="EAF0F6"/>
          </w:tcPr>
          <w:p>
            <w:r/>
            <w:r>
              <w:rPr>
                <w:rFonts w:ascii="Arial" w:hAnsi="Arial"/>
                <w:b/>
                <w:color w:val="233755"/>
                <w:sz w:val="18"/>
              </w:rPr>
              <w:t>Кейсы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/>
                <w:b w:val="0"/>
                <w:sz w:val="18"/>
              </w:rPr>
              <w:t>Публиковать кейсы с задачей, решением, измеримыми результатами и кратким выводом; получать разрешение клиента на публикацию.</w:t>
            </w:r>
          </w:p>
        </w:tc>
      </w:tr>
      <w:tr>
        <w:tc>
          <w:tcPr>
            <w:tcW w:type="dxa" w:w="4968"/>
            <w:shd w:fill="EAF0F6"/>
          </w:tcPr>
          <w:p>
            <w:r/>
            <w:r>
              <w:rPr>
                <w:rFonts w:ascii="Arial" w:hAnsi="Arial"/>
                <w:b/>
                <w:color w:val="233755"/>
                <w:sz w:val="18"/>
              </w:rPr>
              <w:t>Понятный словарь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/>
                <w:b w:val="0"/>
                <w:sz w:val="18"/>
              </w:rPr>
              <w:t>Добавить короткие объяснения VTR, CTR, охвата, частоты и viewability.</w:t>
            </w:r>
          </w:p>
        </w:tc>
      </w:tr>
      <w:tr>
        <w:tc>
          <w:tcPr>
            <w:tcW w:type="dxa" w:w="4968"/>
            <w:shd w:fill="EAF0F6"/>
          </w:tcPr>
          <w:p>
            <w:r/>
            <w:r>
              <w:rPr>
                <w:rFonts w:ascii="Arial" w:hAnsi="Arial"/>
                <w:b/>
                <w:color w:val="233755"/>
                <w:sz w:val="18"/>
              </w:rPr>
              <w:t>Прозрачная заявка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/>
                <w:b w:val="0"/>
                <w:sz w:val="18"/>
              </w:rPr>
              <w:t>Форма с целью кампании, географией, аудиторией, сроками и контактами; после отправки показывать следующий шаг.</w:t>
            </w:r>
          </w:p>
        </w:tc>
      </w:tr>
      <w:tr>
        <w:tc>
          <w:tcPr>
            <w:tcW w:type="dxa" w:w="4968"/>
            <w:shd w:fill="EAF0F6"/>
          </w:tcPr>
          <w:p>
            <w:r/>
            <w:r>
              <w:rPr>
                <w:rFonts w:ascii="Arial" w:hAnsi="Arial"/>
                <w:b/>
                <w:color w:val="233755"/>
                <w:sz w:val="18"/>
              </w:rPr>
              <w:t>Доверие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/>
                <w:b w:val="0"/>
                <w:sz w:val="18"/>
              </w:rPr>
              <w:t>Подробно описать brand safety, отчётность, доступные площадки и ограничения измерения.</w:t>
            </w:r>
          </w:p>
        </w:tc>
      </w:tr>
    </w:tbl>
    <w:p>
      <w:pPr>
        <w:pStyle w:val="Heading2"/>
      </w:pPr>
      <w:r>
        <w:t>3.6. Аналитическое мнение и развитие</w:t>
      </w:r>
    </w:p>
    <w:p>
      <w:pPr>
        <w:spacing w:after="80"/>
      </w:pPr>
      <w:r>
        <w:t>Я бы сохранила акцент на форматах видеорекламы и измеримых показателях, но сделала бы страницу более ориентированной на решение задачи клиента. Вместо длинного описания возможностей стоит показать: цель кампании → подходящий формат → измеряемые показатели → заявка на медиаплан.</w:t>
      </w:r>
    </w:p>
    <w:p>
      <w:pPr>
        <w:spacing w:after="80"/>
      </w:pPr>
      <w:r>
        <w:t>В перспективе проект может развивать интерактивный подбор рекламного формата, библиотеку кейсов, объяснение метрик, прозрачные отчёты и сегменты аудитории с соблюдением применимых требований к конфиденциальности. Привлекать клиентов можно через отраслевые материалы, кейсы, вебинары для маркетологов и экспертные статьи.</w:t>
      </w:r>
    </w:p>
    <w:p>
      <w:pPr>
        <w:pStyle w:val="Heading2"/>
      </w:pPr>
      <w:r>
        <w:t>3.7. Концепция дизайна главной страницы</w:t>
      </w:r>
    </w:p>
    <w:p>
      <w:r>
        <w:drawing>
          <wp:inline xmlns:a="http://schemas.openxmlformats.org/drawingml/2006/main" xmlns:pic="http://schemas.openxmlformats.org/drawingml/2006/picture">
            <wp:extent cx="5212080" cy="643995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sign_vidigital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64399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/>
      </w:pPr>
      <w:r>
        <w:t>Визуальная идея: фиолетовый акцент, лаконичный B2B-стиль, крупный заголовок, CTA «Обсудить кампанию», блок метрик с датой обновления, карточки рекламных форматов, кейсы и схема запуска кампании. Все показатели в финальном макете должны быть подтверждены владельцем сайта.</w:t>
      </w:r>
    </w:p>
    <w:p>
      <w:pPr>
        <w:pStyle w:val="Heading2"/>
      </w:pPr>
      <w:r>
        <w:t>3.8. Обоснование решений</w:t>
      </w:r>
    </w:p>
    <w:p>
      <w:pPr>
        <w:pStyle w:val="ListNumber"/>
        <w:spacing w:after="40"/>
      </w:pPr>
      <w:r>
        <w:t>Изменено: структура начинается с цели рекламодателя. Это помогает быстрее найти подходящий формат.</w:t>
      </w:r>
    </w:p>
    <w:p>
      <w:pPr>
        <w:pStyle w:val="ListNumber"/>
        <w:spacing w:after="40"/>
      </w:pPr>
      <w:r>
        <w:t>Добавлено: словарь метрик и пояснения к показателям. Решается проблема сложной профессиональной терминологии.</w:t>
      </w:r>
    </w:p>
    <w:p>
      <w:pPr>
        <w:pStyle w:val="ListNumber"/>
        <w:spacing w:after="40"/>
      </w:pPr>
      <w:r>
        <w:t>Добавлено: кейсы и пошаговая схема запуска. Они помогают понять процесс и повысить доверие.</w:t>
      </w:r>
    </w:p>
    <w:p>
      <w:pPr>
        <w:pStyle w:val="ListNumber"/>
        <w:spacing w:after="40"/>
      </w:pPr>
      <w:r>
        <w:t>Сохранено: специализация на видеоформатах, рекламной сети и измерении эффективности.</w:t>
      </w:r>
    </w:p>
    <w:p>
      <w:pPr>
        <w:pStyle w:val="ListNumber"/>
        <w:spacing w:after="40"/>
      </w:pPr>
      <w:r>
        <w:t>Перспектива: интерактивный предварительный медиаплан и расширенная отчётность при наличии достоверных данных.</w:t>
      </w:r>
    </w:p>
    <w:p>
      <w:r>
        <w:br w:type="page"/>
      </w:r>
    </w:p>
    <w:p>
      <w:pPr>
        <w:pStyle w:val="Heading1"/>
      </w:pPr>
      <w:r>
        <w:t>4. Общие выводы и план внедрения</w:t>
      </w:r>
    </w:p>
    <w:p>
      <w:pPr>
        <w:spacing w:after="80"/>
      </w:pPr>
      <w:r>
        <w:t>Все три проекта решают разные задачи, поэтому их дизайн не должен быть одинаковым. Izicity нужен функциональный каталог с сильным поиском; AiPi Media — понятная презентация экосистемы и путь к партнёрству; Vi Digital — B2B-страница, ведущая клиента от рекламной цели к заявке и измеримому результату.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fill="233757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Проект</w:t>
            </w:r>
          </w:p>
        </w:tc>
        <w:tc>
          <w:tcPr>
            <w:tcW w:type="dxa" w:w="3312"/>
            <w:shd w:fill="233757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Главный приоритет</w:t>
            </w:r>
          </w:p>
        </w:tc>
        <w:tc>
          <w:tcPr>
            <w:tcW w:type="dxa" w:w="3312"/>
            <w:shd w:fill="233757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Ожидаемый эффект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sz w:val="17"/>
              </w:rPr>
              <w:t>Izicity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sz w:val="17"/>
              </w:rPr>
              <w:t>Поиск, фильтры, доверие к объявлениям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sz w:val="17"/>
              </w:rPr>
              <w:t>Быстрее поиск и больше обращений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sz w:val="17"/>
              </w:rPr>
              <w:t>AiPi Media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sz w:val="17"/>
              </w:rPr>
              <w:t>Ценность для участника, каталог и кейсы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sz w:val="17"/>
              </w:rPr>
              <w:t>Больше заявок на сотрудничество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sz w:val="17"/>
              </w:rPr>
              <w:t>Vi Digital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sz w:val="17"/>
              </w:rPr>
              <w:t>Подбор формата, прозрачные метрики, кейсы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sz w:val="17"/>
              </w:rPr>
              <w:t>Понятнее предложение и качественнее заявки</w:t>
            </w:r>
          </w:p>
        </w:tc>
      </w:tr>
    </w:tbl>
    <w:p>
      <w:pPr>
        <w:pStyle w:val="Heading2"/>
      </w:pPr>
      <w:r>
        <w:t>Рекомендуемая очередность работ</w:t>
      </w:r>
    </w:p>
    <w:p>
      <w:pPr>
        <w:pStyle w:val="ListNumber"/>
        <w:spacing w:after="40"/>
      </w:pPr>
      <w:r>
        <w:t>Провести проверку мобильной версии и основных пользовательских сценариев на реальных устройствах.</w:t>
      </w:r>
    </w:p>
    <w:p>
      <w:pPr>
        <w:pStyle w:val="ListNumber"/>
        <w:spacing w:after="40"/>
      </w:pPr>
      <w:r>
        <w:t>Собрать обратную связь от нескольких представителей целевой аудитории каждого проекта.</w:t>
      </w:r>
    </w:p>
    <w:p>
      <w:pPr>
        <w:pStyle w:val="ListNumber"/>
        <w:spacing w:after="40"/>
      </w:pPr>
      <w:r>
        <w:t>Подготовить кликабельный прототип главной страницы и проверить понятность навигации.</w:t>
      </w:r>
    </w:p>
    <w:p>
      <w:pPr>
        <w:pStyle w:val="ListNumber"/>
        <w:spacing w:after="40"/>
      </w:pPr>
      <w:r>
        <w:t>Реализовать самые важные улучшения: поиск и фильтры для Izicity; сценарии участия для AiPi Media; форму заявки и структуру рекламных форматов для Vi Digital.</w:t>
      </w:r>
    </w:p>
    <w:p>
      <w:pPr>
        <w:pStyle w:val="ListNumber"/>
        <w:spacing w:after="40"/>
      </w:pPr>
      <w:r>
        <w:t>Измерять результат по целевым показателям: успешность поиска и обращения, заявки на партнёрство, отправленные запросы на медиаплан.</w:t>
      </w:r>
    </w:p>
    <w:p>
      <w:pPr>
        <w:pStyle w:val="ListNumber"/>
        <w:spacing w:after="40"/>
      </w:pPr>
      <w:r>
        <w:t>После внедрения сравнить показатели до и после изменений и приоритизировать следующие доработки.</w:t>
      </w:r>
    </w:p>
    <w:p>
      <w:pPr>
        <w:pStyle w:val="Heading1"/>
      </w:pPr>
      <w:r>
        <w:t>Заключение</w:t>
      </w:r>
    </w:p>
    <w:p>
      <w:pPr>
        <w:spacing w:after="80"/>
      </w:pPr>
      <w:r>
        <w:t>В ходе анализа определены сильные стороны и направления улучшения трёх платформ. Основной принцип предложенных концепций — начинать проектирование с потребности пользователя: найти предложение, установить партнёрство или запустить рекламную кампанию. Дизайн поддерживает это через ясную иерархию, заметные действия, понятные блоки и прозрачные объяснения.</w:t>
      </w:r>
    </w:p>
    <w:p>
      <w:pPr>
        <w:spacing w:after="80"/>
      </w:pPr>
      <w:r>
        <w:t>Предложения являются концептуальными и требуют проверки на пользователях и согласования с владельцами платформ. Особое внимание перед финальной сдачей следует уделить уточнению точного адреса третьего сайта и актуальности его данных.</w:t>
      </w:r>
    </w:p>
    <w:p>
      <w:pPr>
        <w:pStyle w:val="Heading1"/>
      </w:pPr>
      <w:r>
        <w:t>Источники</w:t>
      </w:r>
    </w:p>
    <w:p>
      <w:pPr>
        <w:pStyle w:val="ListBullet"/>
        <w:spacing w:after="40"/>
      </w:pPr>
      <w:r>
        <w:t>Izicity, главная страница и разделы сайта: https://izicity.kz/ (просмотр 21.10.2026).</w:t>
      </w:r>
    </w:p>
    <w:p>
      <w:pPr>
        <w:pStyle w:val="ListBullet"/>
        <w:spacing w:after="40"/>
      </w:pPr>
      <w:r>
        <w:t>AiPi Media, главная страница: https://aipimedia.com/ (просмотр 21.10.2026).</w:t>
      </w:r>
    </w:p>
    <w:p>
      <w:pPr>
        <w:pStyle w:val="ListBullet"/>
        <w:spacing w:after="40"/>
      </w:pPr>
      <w:r>
        <w:t>Vi Digital, доступное публичное описание: https://vidigital.kz/ (просмотр 21.10.2026; адрес отличается от viadigital.kz, указанного в задании).</w:t>
      </w:r>
    </w:p>
    <w:sectPr w:rsidR="00FC693F" w:rsidRPr="0006063C" w:rsidSect="00034616">
      <w:footerReference w:type="default" r:id="rId12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Отчёт по анализу медиаплатформ  |  </w:t>
    </w:r>
    <w:fldChar w:fldCharType="begin"/>
    <w:instrText xml:space="preserve">PAGE</w:instrText>
    <w:fldChar w:fldCharType="end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3375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85A6E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414B5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23375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